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FC3698" w:rsidRPr="006B6A68" w14:paraId="75FE7969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D3E" w14:textId="291E47CF" w:rsidR="00FC3698" w:rsidRDefault="00FC3698" w:rsidP="00FC369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D89C" w14:textId="61B9BE9E" w:rsidR="00FC3698" w:rsidRDefault="00FC3698" w:rsidP="00FC3698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Café</w:t>
            </w:r>
            <w:r>
              <w:t xml:space="preserve"> Apresentação: Torrado Moído, Intensidade: Suave, Tipo: Tradicional, Empacotamento: Vácuo, Prazo Validade Mínimo: 18 Meses, Característica Adicional: Blend Arábica e </w:t>
            </w:r>
            <w:proofErr w:type="spellStart"/>
            <w:r>
              <w:t>Conilon</w:t>
            </w:r>
            <w:proofErr w:type="spellEnd"/>
            <w:r>
              <w:t>: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F9E49" w14:textId="4F4B894E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8 pacotes com 500 gramas,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002F" w14:textId="727BCBAA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BC59B" w14:textId="77777777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369FF04" w14:textId="77777777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33BBE41" w14:textId="6E2603BB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22063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2026-04-30T20:25:00Z</dcterms:created>
  <dcterms:modified xsi:type="dcterms:W3CDTF">2026-04-30T20:25:00Z</dcterms:modified>
</cp:coreProperties>
</file>